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Community planning around Texas data centers</w:t>
      </w:r>
    </w:p>
    <w:p>
      <w:pPr>
        <w:pStyle w:val="Subtitle"/>
      </w:pPr>
      <w:r>
        <w:t>GO Goswick Organization    November 2026</w:t>
      </w:r>
    </w:p>
    <w:p>
      <w:r>
        <w:t>Use the map and worksheet to identify places for further investigation and decide which evidence to gather next. Straight-line proximity can help frame a conversation, but it does not establish housing demand, available land, utility capacity, or permission to build.</w:t>
      </w:r>
    </w:p>
    <w:p>
      <w:pPr>
        <w:pStyle w:val="Heading1"/>
      </w:pPr>
      <w:r>
        <w:t>Explore the communities around a project</w:t>
      </w:r>
    </w:p>
    <w:p>
      <w:r>
        <w:t>The GO planning map opens at RELLIS Campus in Bryan. Selecting a data center moves the 10, 20, 30, and 40 mile rings and recalculates nearby community references. Turn on the town and community list for nearby results or search across the statewide inventory. The map is available without registration.</w:t>
      </w:r>
    </w:p>
    <w:p>
      <w:r>
        <w:t>The inventory contains 9,436 references. It combines 9,214 non-historical Texas GNIS Populated Places with 222 additional Census places. All 1,863 Census 2025 Texas places are represented. It includes cities, neighborhoods, and unincorporated communities, with no population cutoff.</w:t>
      </w:r>
    </w:p>
    <w:p>
      <w:r>
        <w:t>Census places are matched to the nearest normalized-name GNIS reference within five miles. Unmatched places are added. This method can retain overlapping references and does not define municipal boundaries or guarantee coverage of every informal local name.</w:t>
      </w:r>
    </w:p>
    <w:p>
      <w:pPr>
        <w:pStyle w:val="Heading1"/>
      </w:pPr>
      <w:r>
        <w:t>Test the relationships with local evidence</w:t>
      </w:r>
    </w:p>
    <w:p>
      <w:r>
        <w:t>Check the current status of a proposed investment before treating it as a planning assumption. Compare actual road routes and travel times. Ask service providers for written capacity and timing evidence, and bring local residents, jurisdictions, and potential delivery partners into the discussion.</w:t>
      </w:r>
    </w:p>
    <w:p>
      <w:r>
        <w:t>The map retains 685 operating and planned data-center records from the existing October 18, 2026 research snapshot. Planned can include several development stages; phases can share a point. Reference coordinates and source classifications are not independent engineering, permit, or boundary verification.</w:t>
      </w:r>
    </w:p>
    <w:p>
      <w:pPr>
        <w:pStyle w:val="Heading1"/>
      </w:pPr>
      <w:r>
        <w:t>Open the tools</w:t>
      </w:r>
    </w:p>
    <w:p>
      <w:hyperlink r:id="rId9">
        <w:r>
          <w:rPr>
            <w:color w:val="315E08"/>
            <w:u w:val="single"/>
          </w:rPr>
          <w:t>Interactive community planning map</w:t>
        </w:r>
      </w:hyperlink>
    </w:p>
    <w:p>
      <w:hyperlink r:id="rId10">
        <w:r>
          <w:rPr>
            <w:color w:val="315E08"/>
            <w:u w:val="single"/>
          </w:rPr>
          <w:t>How close is close enough and the interactive checklist</w:t>
        </w:r>
      </w:hyperlink>
    </w:p>
    <w:p>
      <w:hyperlink r:id="rId11">
        <w:r>
          <w:rPr>
            <w:color w:val="315E08"/>
            <w:u w:val="single"/>
          </w:rPr>
          <w:t>Current projects and initiatives</w:t>
        </w:r>
      </w:hyperlink>
    </w:p>
    <w:p>
      <w:r>
        <w:br w:type="page"/>
      </w:r>
    </w:p>
    <w:p>
      <w:pPr>
        <w:pStyle w:val="Heading1"/>
      </w:pPr>
      <w:r>
        <w:t>100 point evidence worksheet</w:t>
      </w:r>
    </w:p>
    <w:p>
      <w:r>
        <w:t>Community or site __________________________   Date __________________</w:t>
      </w:r>
    </w:p>
    <w:p>
      <w:r>
        <w:t>Prepared by _______________________________   Next review _____________</w:t>
      </w:r>
    </w:p>
    <w:p>
      <w:r>
        <w:t>Score each category at zero when evidence is absent, half its weight for partial evidence, or its full weight when documented. Record sources separately. This is a working discussion tool, not a validated feasibility model. A high total cannot resolve a critical unanswered question.</w:t>
      </w:r>
    </w:p>
    <w:tbl>
      <w:tblPr>
        <w:tblW w:type="auto" w:w="0"/>
        <w:tblLayout w:type="fixed"/>
        <w:tblLook w:firstColumn="1" w:firstRow="1" w:lastColumn="0" w:lastRow="0" w:noHBand="0" w:noVBand="1" w:val="04A0"/>
      </w:tblPr>
      <w:tblGrid>
        <w:gridCol w:w="6552"/>
        <w:gridCol w:w="864"/>
        <w:gridCol w:w="1368"/>
        <w:gridCol w:w="1296"/>
      </w:tblGrid>
      <w:tr>
        <w:trPr>
          <w:cantSplit/>
          <w:cantSplit/>
          <w:cantSplit/>
          <w:cantSplit/>
          <w:tblHeader/>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9E4"/>
          </w:tcPr>
          <w:p>
            <w:pPr>
              <w:spacing w:after="0" w:line="252" w:lineRule="auto"/>
            </w:pPr>
            <w:r>
              <w:rPr>
                <w:b/>
                <w:sz w:val="17"/>
              </w:rPr>
              <w:t>Evidence category</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9E4"/>
          </w:tcPr>
          <w:p>
            <w:pPr>
              <w:spacing w:after="0" w:line="252" w:lineRule="auto"/>
              <w:jc w:val="center"/>
            </w:pPr>
            <w:r>
              <w:rPr>
                <w:b/>
                <w:sz w:val="17"/>
              </w:rPr>
              <w:t>Weight</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9E4"/>
          </w:tcPr>
          <w:p>
            <w:pPr>
              <w:spacing w:after="0" w:line="252" w:lineRule="auto"/>
              <w:jc w:val="center"/>
            </w:pPr>
            <w:r>
              <w:rPr>
                <w:b/>
                <w:sz w:val="17"/>
              </w:rPr>
              <w:t>Level</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9E4"/>
          </w:tcPr>
          <w:p>
            <w:pPr>
              <w:spacing w:after="0" w:line="252" w:lineRule="auto"/>
              <w:jc w:val="center"/>
            </w:pPr>
            <w:r>
              <w:rPr>
                <w:b/>
                <w:sz w:val="17"/>
              </w:rPr>
              <w:t>Points</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Infrastructure capacity</w:t>
              <w:br/>
              <w:t>Written utility capacity, timing, and connection evidence for the proposed use.</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Water and wastewater</w:t>
              <w:br/>
              <w:t>Documented service availability, capacity, cost, and constraints.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Site and environmental evidence</w:t>
              <w:br/>
              <w:t>Site control, flood exposure, environmental conditions, and buildable-area evidence.</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Housing need and market evidence</w:t>
              <w:br/>
              <w:t>Local evidence of demand, incomes, tenure, pricing, and existing supply.</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10</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Access and travel time</w:t>
              <w:br/>
              <w:t>Actual road routes, travel times, transport choices, and daily access to work and services.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10</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Entitlements and local alignment</w:t>
              <w:br/>
              <w:t>A documented approval pathway and early discussion with the relevant jurisdictions.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10</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Delivery and financial feasibility</w:t>
              <w:br/>
              <w:t>An evidence-based budget, funding plan, sequencing, and accountable delivery partners.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10</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Schools and community services</w:t>
              <w:br/>
              <w:t>Evidence on access to schools, health care, public safety, and everyday services.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Community participation</w:t>
              <w:br/>
              <w:t>A process for listening to residents and addressing documented concerns.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r>
        <w:trPr>
          <w:cantSplit/>
          <w:cantSplit/>
          <w:cantSplit/>
          <w:cantSplit/>
        </w:trPr>
        <w:tc>
          <w:tcPr>
            <w:tcW w:type="dxa" w:w="65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pPr>
            <w:r>
              <w:rPr>
                <w:b w:val="0"/>
                <w:sz w:val="17"/>
              </w:rPr>
              <w:t>Long-term stewardship</w:t>
              <w:br/>
              <w:t>Clear responsibilities for maintenance, resilience, and community outcomes.</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5</w:t>
            </w:r>
          </w:p>
        </w:tc>
        <w:tc>
          <w:tcPr>
            <w:tcW w:type="dxa" w:w="13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0 / ½ / 1</w:t>
            </w:r>
          </w:p>
        </w:tc>
        <w:tc>
          <w:tcPr>
            <w:tcW w:type="dxa" w:w="129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2" w:lineRule="auto"/>
              <w:jc w:val="center"/>
            </w:pPr>
            <w:r>
              <w:rPr>
                <w:b w:val="0"/>
                <w:sz w:val="17"/>
              </w:rPr>
              <w:t>_____</w:t>
            </w:r>
          </w:p>
        </w:tc>
      </w:tr>
    </w:tbl>
    <w:p>
      <w:r>
        <w:t>Total evidence score ______ / 100       Categories assessed ______ / 10</w:t>
      </w:r>
    </w:p>
    <w:p>
      <w:r>
        <w:t>Critical unanswered question __________________________________________</w:t>
      </w:r>
    </w:p>
    <w:p>
      <w:r>
        <w:t>Next action ________________________   Owner __________   Due __________</w:t>
      </w:r>
    </w:p>
    <w:p>
      <w:r>
        <w:br w:type="page"/>
      </w:r>
    </w:p>
    <w:p>
      <w:pPr>
        <w:pStyle w:val="Heading1"/>
      </w:pPr>
      <w:r>
        <w:t>Sources and next steps</w:t>
      </w:r>
    </w:p>
    <w:p>
      <w:r>
        <w:t>The inventory and map are research snapshots. They do not refresh automatically. Ring counts are cumulative place references within each radius, not unique municipalities or road distances. The RELLIS pin identifies the campus area, not an approved housing site or a confirmed demonstration pad.</w:t>
      </w:r>
    </w:p>
    <w:p>
      <w:hyperlink r:id="rId12">
        <w:r>
          <w:rPr>
            <w:color w:val="315E08"/>
            <w:u w:val="single"/>
          </w:rPr>
          <w:t>USGS Geographic Names Information System data</w:t>
        </w:r>
      </w:hyperlink>
    </w:p>
    <w:p>
      <w:r>
        <w:t>Texas Populated Places from the topical GNIS download; 92 explicitly historical names excluded. The source file used for this inventory was last modified September 2, 2026.</w:t>
      </w:r>
    </w:p>
    <w:p>
      <w:hyperlink r:id="rId13">
        <w:r>
          <w:rPr>
            <w:color w:val="315E08"/>
            <w:u w:val="single"/>
          </w:rPr>
          <w:t>U S Census Bureau 2025 Gazetteer files</w:t>
        </w:r>
      </w:hyperlink>
    </w:p>
    <w:p>
      <w:r>
        <w:t>All 1,863 Texas Census places are represented. Matched records retain their Census identifier and reference coordinate alongside the GNIS point.</w:t>
      </w:r>
    </w:p>
    <w:p>
      <w:hyperlink r:id="rId14">
        <w:r>
          <w:rPr>
            <w:color w:val="315E08"/>
            <w:u w:val="single"/>
          </w:rPr>
          <w:t>Data center research source</w:t>
        </w:r>
      </w:hyperlink>
    </w:p>
    <w:p>
      <w:r>
        <w:t>The site retains the existing October 18, 2026 operating and planned tracker snapshot. Status, location accuracy, and coverage limitations are available with the map.</w:t>
      </w:r>
    </w:p>
    <w:p>
      <w:hyperlink r:id="rId15">
        <w:r>
          <w:rPr>
            <w:color w:val="315E08"/>
            <w:u w:val="single"/>
          </w:rPr>
          <w:t>Full inventory method and provenance</w:t>
        </w:r>
      </w:hyperlink>
    </w:p>
    <w:p>
      <w:pPr>
        <w:pStyle w:val="Heading1"/>
      </w:pPr>
      <w:r>
        <w:t>Define the next piece of evidence</w:t>
      </w:r>
    </w:p>
    <w:p>
      <w:r>
        <w:t>Use the worksheet to identify what is documented and what remains unresolved. Assign an owner and a deadline to the next evidence-gathering task. Revisit the scores as information changes.</w:t>
      </w:r>
    </w:p>
    <w:p>
      <w:hyperlink r:id="rId16">
        <w:r>
          <w:rPr>
            <w:color w:val="315E08"/>
            <w:u w:val="single"/>
          </w:rPr>
          <w:t>Explore the GO Formula</w:t>
        </w:r>
      </w:hyperlink>
    </w:p>
    <w:p>
      <w:hyperlink r:id="rId17">
        <w:r>
          <w:rPr>
            <w:color w:val="315E08"/>
            <w:u w:val="single"/>
          </w:rPr>
          <w:t>Book a conversation with David Goswick</w:t>
        </w:r>
      </w:hyperlink>
    </w:p>
    <w:p>
      <w:r>
        <w:t>Optional map registration requests future updates from GO. Maps remain available without registration. Automated email and SMS delivery is not configured, and a mobile number does not authorize marketing texts.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oswick.org/data-center-community-map/" TargetMode="External"/><Relationship Id="rId10" Type="http://schemas.openxmlformats.org/officeDocument/2006/relationships/hyperlink" Target="https://goswick.org/perspectives/how-close-is-close-enough/#weighted-checklist" TargetMode="External"/><Relationship Id="rId11" Type="http://schemas.openxmlformats.org/officeDocument/2006/relationships/hyperlink" Target="https://goswick.org/current-projects-initiatives/" TargetMode="External"/><Relationship Id="rId12" Type="http://schemas.openxmlformats.org/officeDocument/2006/relationships/hyperlink" Target="https://www.usgs.gov/us-board-on-geographic-names/download-gnis-data" TargetMode="External"/><Relationship Id="rId13" Type="http://schemas.openxmlformats.org/officeDocument/2006/relationships/hyperlink" Target="https://www.census.gov/geographies/reference-files/time-series/geo/gazetteer-files.2025.html" TargetMode="External"/><Relationship Id="rId14" Type="http://schemas.openxmlformats.org/officeDocument/2006/relationships/hyperlink" Target="https://cleanview.co/data-centers/texas" TargetMode="External"/><Relationship Id="rId15" Type="http://schemas.openxmlformats.org/officeDocument/2006/relationships/hyperlink" Target="https://goswick.org/data-center-community-map/communities-meta.json" TargetMode="External"/><Relationship Id="rId16" Type="http://schemas.openxmlformats.org/officeDocument/2006/relationships/hyperlink" Target="https://goswick.org/go-formula/" TargetMode="External"/><Relationship Id="rId17" Type="http://schemas.openxmlformats.org/officeDocument/2006/relationships/hyperlink" Target="https://drg-9.youcanbook.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planning around Texas data centers</dc:title>
  <dc:subject>Research map and 100 point evidence worksheet</dc:subject>
  <dc:creator>Goswick Organization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