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GO SPECIAL REPORT</w:t>
      </w:r>
    </w:p>
    <w:p>
      <w:pPr>
        <w:pStyle w:val="Title"/>
      </w:pPr>
      <w:r>
        <w:t>How Close Is Close Enough?</w:t>
        <w:br/>
        <w:t>How Far Is Far Enough?</w:t>
      </w:r>
    </w:p>
    <w:p>
      <w:pPr>
        <w:pStyle w:val="Subtitle"/>
      </w:pPr>
      <w:r>
        <w:t>Bring your own electrons, molecules (water), and bytes (digital infrastructure).</w:t>
      </w:r>
    </w:p>
    <w:p>
      <w:hyperlink r:id="rId10">
        <w:r>
          <w:rPr>
            <w:color w:val="12634B"/>
            <w:u w:val="single"/>
          </w:rPr>
          <w:t>Open the GO interactive map</w:t>
        </w:r>
      </w:hyperlink>
      <w:r>
        <w:t xml:space="preserve">  |  </w:t>
      </w:r>
      <w:hyperlink r:id="rId11">
        <w:r>
          <w:rPr>
            <w:color w:val="12634B"/>
            <w:u w:val="single"/>
          </w:rPr>
          <w:t>Read the online article</w:t>
        </w:r>
      </w:hyperlink>
    </w:p>
    <w:p>
      <w:r>
        <w:t>Texas is being asked to help build the digital future. The question is whether the communities hosting that future will become stronger places to live—or simply convenient locations for power, water, and land.</w:t>
      </w:r>
    </w:p>
    <w:p>
      <w:r>
        <w:t>We should expect more than a fenced campus and a ribbon cutting. Data center investment should help create vibrant small towns: places with reliable infrastructure, attainable homes, good schools, local businesses, and a character worth preserving.</w:t>
      </w:r>
    </w:p>
    <w:p>
      <w:r>
        <w:t>But first, we must ask two questions: How close is close enough to share the opportunity? How far is far enough to protect the quality of everyday life?</w:t>
      </w:r>
    </w:p>
    <w:p>
      <w:pPr>
        <w:pStyle w:val="Heading2"/>
      </w:pPr>
      <w:r>
        <w:t>Start with evidence, not a circle on a map.</w:t>
      </w:r>
    </w:p>
    <w:p>
      <w:r>
        <w:t>Cooling equipment, electrical systems, and generators can create noise with different characteristics. Loudoun County, Virginia, identifies persistent tones and low-frequency sound as particular challenges, explaining why a single conventional decibel reading may not tell the whole story. 1</w:t>
      </w:r>
    </w:p>
    <w:p>
      <w:r>
        <w:t>That does not mean every data center is an incompatible neighbor. Virginia’s legislative review found that most do not generate noise complaints because of their location or design. 2 It does mean that communities deserve more than assurances.</w:t>
      </w:r>
    </w:p>
    <w:p>
      <w:r>
        <w:t>Before homes are planned nearby, independent specialists should evaluate daytime and nighttime sound, low-frequency and tonal components, generator testing, full-campus buildout, and cumulative effects from neighboring facilities. Where warranted, assess ground-borne vibration separately; sound and structural vibration are not interchangeable. Require mitigation, post-construction monitoring, and a funded process for correcting problems.</w:t>
      </w:r>
    </w:p>
    <w:p>
      <w:r>
        <w:t>Distance is one variable. Terrain, equipment placement, operating conditions, and the design of both the facility and the neighborhood matter. A ten-mile ring is not a safety standard. A forty-mile ring does not guarantee affordable electricity, available water, or an easy commute.</w:t>
      </w:r>
    </w:p>
    <w:p>
      <w:pPr>
        <w:pStyle w:val="Heading2"/>
      </w:pPr>
      <w:r>
        <w:t>Bring your own electrons, molecules, and bytes.</w:t>
      </w:r>
    </w:p>
    <w:p>
      <w:r>
        <w:t>This should be a planning principle, backed by transparent commitments from data center owners and operators.</w:t>
      </w:r>
    </w:p>
    <w:p>
      <w:r>
        <w:t>Electrons: help fund the additional generation, transmission, substations, and resilience the project requires. Account for peak demand and the cost of backup arrangements. Existing households should not become the default financiers of infrastructure built primarily for a new industrial customer.</w:t>
      </w:r>
    </w:p>
    <w:p>
      <w:r>
        <w:t>Molecules: establish a credible water budget before making a development promise. The U.S. Geological Survey describes the importance of cooling choices, local climate, and competing water demands in data center planning. 3 Evaluate reuse and lower-water cooling where suitable; disclose tradeoffs, drought plans, treatment needs, and who pays for capacity.</w:t>
      </w:r>
    </w:p>
    <w:p>
      <w:r>
        <w:t>Bytes: turn the arrival of major digital infrastructure into an opportunity to improve community connectivity. Support affordable broadband for homes, schools, libraries, and businesses through appropriate providers and agreements. A secure data center network is not automatically a public broadband service.</w:t>
      </w:r>
    </w:p>
    <w:p>
      <w:r>
        <w:t>“Bring your own” need not mean every facility operates off-grid. It means growth comes with a credible, funded plan—and a fair allocation of costs.</w:t>
      </w:r>
    </w:p>
    <w:p>
      <w:pPr>
        <w:pStyle w:val="Heading2"/>
      </w:pPr>
      <w:r>
        <w:t>Build a town people would choose.</w:t>
      </w:r>
    </w:p>
    <w:p>
      <w:r>
        <w:t>The housing opportunity should extend from small luxe homes to attainable homes, sharing the same attention to comfort, durability, efficiency, and neighborhood design.</w:t>
      </w:r>
    </w:p>
    <w:p>
      <w:r>
        <w:t>Imagine compact homes with welcoming porches, shaded sidewalks, useful parks, and places to gather. Make room for teachers, nurses, technicians, young families, and older residents. Offer different home sizes, prices, and tenures rather than reserving good design for the highest-priced address.</w:t>
      </w:r>
    </w:p>
    <w:p>
      <w:r>
        <w:t>Start with the town already there. Reinforce its main street, preserve its landmarks, support local merchants, and respect its landscape. Charm grows from useful public places, human-scale design, and relationships built over time.</w:t>
      </w:r>
    </w:p>
    <w:p>
      <w:r>
        <w:t>Plan for the wider community, not only data center employees. Virginia’s review distinguishes substantial construction activity from a smaller permanent operating workforce. 2 Housing demand and school enrollment deserve independent analysis, not assumptions based on the size of an investment announcement.</w:t>
      </w:r>
    </w:p>
    <w:p>
      <w:pPr>
        <w:pStyle w:val="Heading2"/>
      </w:pPr>
      <w:r>
        <w:t>Make education part of the infrastructure.</w:t>
      </w:r>
    </w:p>
    <w:p>
      <w:r>
        <w:t>Owners and operators should help support schools, community colleges, universities, and workforce pathways. That could include paid apprenticeships, teacher development, technical laboratories, and training in electrical systems, cooling, water management, cybersecurity, and construction.</w:t>
      </w:r>
    </w:p>
    <w:p>
      <w:r>
        <w:t>These investments should equip residents for opportunities across the regional economy—not depend on a promise that every student will work inside one campus.</w:t>
      </w:r>
    </w:p>
    <w:p>
      <w:r>
        <w:t>Put the commitments in writing: identified funding, responsible parties, delivery milestones, public reporting, and provisions for a delayed, downsized, or closed project. Involve residents early. Infrastructure sponsorship should complement public accountability, not substitute for it.</w:t>
      </w:r>
    </w:p>
    <w:p>
      <w:pPr>
        <w:pStyle w:val="Heading2"/>
      </w:pPr>
      <w:r>
        <w:t>Put the commitments on a scorecard.</w:t>
      </w:r>
    </w:p>
    <w:p>
      <w:r>
        <w:t>A shared vision needs a disciplined checklist. GO’s proposed 100-point framework gives the greatest weight to noise and vibration, water, power, and site safety, while also requiring housing choice, infrastructure, town character, education, digital access, and accountability.</w:t>
      </w:r>
    </w:p>
    <w:p>
      <w:r>
        <w:t>The weights are a starting point for discussion—not a scientific standard or an approval formula. A high score for housing or amenities cannot compensate for an unresolved essential condition. First address the non-negotiable requirements; then evaluate the strength of the complete plan.</w:t>
      </w:r>
    </w:p>
    <w:p>
      <w:pPr>
        <w:pStyle w:val="Heading2"/>
      </w:pPr>
      <w:r>
        <w:t>Use the map to begin the conversation.</w:t>
      </w:r>
    </w:p>
    <w:p>
      <w:r>
        <w:t>The GO interactive map below draws 10-, 20-, 30-, and 40-mile rings around a selected data center reference point and identifies nearby small towns and Texas A&amp;M System sites. It helps ask where housing, education, infrastructure, and local enterprise might connect.</w:t>
      </w:r>
    </w:p>
    <w:p>
      <w:r>
        <w:t>It does not answer where a home is safe, whether a site is available, or whether utilities can serve it. Those answers require local evidence and professional study.</w:t>
      </w:r>
    </w:p>
    <w:p>
      <w:r>
        <w:t>We can welcome the digital economy and insist on better places. The measure of success should include what remains outside the fence: a stronger main street, a reliable water system, a family that can afford a home, and a child with more possibilities.</w:t>
      </w:r>
    </w:p>
    <w:p>
      <w:r>
        <w:t>Close enough to share the opportunity. Far enough—and thoughtfully designed enough—to protect the life of the community.</w:t>
      </w:r>
    </w:p>
    <w:p>
      <w:r>
        <w:br w:type="page"/>
      </w:r>
    </w:p>
    <w:p>
      <w:pPr>
        <w:pStyle w:val="Heading1"/>
      </w:pPr>
      <w:r>
        <w:t>GO weighted planning checklist</w:t>
      </w:r>
    </w:p>
    <w:p>
      <w:r>
        <w:t>Proposed 100 point framework for discussion and review. A high overall score cannot compensate for an unresolved essential condition. These weights are not regulatory criteria, validated health thresholds or a certification.</w:t>
      </w:r>
    </w:p>
    <w:p>
      <w:hyperlink r:id="rId12">
        <w:r>
          <w:rPr>
            <w:color w:val="12634B"/>
            <w:u w:val="single"/>
          </w:rPr>
          <w:t>Use the interactive scoring worksheet</w:t>
        </w:r>
      </w:hyperlink>
    </w:p>
    <w:p>
      <w:pPr>
        <w:pStyle w:val="Heading2"/>
      </w:pPr>
      <w:r>
        <w:t>Five essential gates</w:t>
      </w:r>
    </w:p>
    <w:p>
      <w:r>
        <w:t>Record reviewer confirmation only after supporting evidence is available. Keep unresolved items under review regardless of the score.</w:t>
      </w:r>
    </w:p>
    <w:p>
      <w:r>
        <w:t>[  ] 1. Independent noise and, where warranted, vibration review — A site-specific design meets applicable requirements and agreed residential performance criteria, with a funded plan for operational verification and correction.</w:t>
      </w:r>
    </w:p>
    <w:p>
      <w:r>
        <w:t>[  ] 2. Credible water and drought plan — Supply, competing demands, treatment and drought response are documented, with responsible funding and required approvals.</w:t>
      </w:r>
    </w:p>
    <w:p>
      <w:r>
        <w:t>[  ] 3. Credible power and cost-allocation plan — Capacity, reliability, delivery timing and project-specific costs are documented with responsible parties.</w:t>
      </w:r>
    </w:p>
    <w:p>
      <w:r>
        <w:t>[  ] 4. Site safety and applicable approvals — Environmental, flood, air-quality and emergency-response reviews are addressed, and required approvals for the proposed phase are established.</w:t>
      </w:r>
    </w:p>
    <w:p>
      <w:r>
        <w:t>[  ] 5. Enforceable funding and accountability — Infrastructure and community commitments have responsible parties, budgets, milestones, monitoring, remedies, and delay or closure provisions.</w:t>
      </w:r>
    </w:p>
    <w:p>
      <w:pPr>
        <w:pStyle w:val="Heading2"/>
      </w:pPr>
      <w:r>
        <w:t>Evidence rating and scoring</w:t>
      </w:r>
    </w:p>
    <w:p>
      <w:r>
        <w:t>0 Unaddressed • 1 Concept only • 2 Documented design • 3 Funded commitments with accountable delivery • 4 Independently reviewed evidence appropriate to the project stage.</w:t>
      </w:r>
    </w:p>
    <w:p>
      <w:r>
        <w:t>Earned points = category weight × rating ÷ 4. Weights total 100. A design review does not demonstrate later operational performance. Leave unknown ratings blank; show totals as provisional until all categories are rated.</w:t>
      </w:r>
    </w:p>
    <w:tbl>
      <w:tblPr>
        <w:tblW w:type="auto" w:w="0"/>
        <w:tblLayout w:type="fixed"/>
        <w:tblLook w:firstColumn="1" w:firstRow="1" w:lastColumn="0" w:lastRow="0" w:noHBand="0" w:noVBand="1" w:val="04A0"/>
      </w:tblPr>
      <w:tblGrid>
        <w:gridCol w:w="6912"/>
        <w:gridCol w:w="936"/>
        <w:gridCol w:w="1656"/>
      </w:tblGrid>
      <w:tr>
        <w:trPr>
          <w:tblHeader/>
        </w:trPr>
        <w:tc>
          <w:tcPr>
            <w:tcW w:type="dxa" w:w="3312"/>
            <w:tcBorders>
              <w:top w:val="single" w:sz="4" w:color="D9D9D9"/>
              <w:left w:val="single" w:sz="4" w:color="D9D9D9"/>
              <w:bottom w:val="single" w:sz="4" w:color="D9D9D9"/>
              <w:right w:val="single" w:sz="4" w:color="D9D9D9"/>
            </w:tcBorders>
            <w:shd w:fill="E8E8E8"/>
          </w:tcPr>
          <w:p>
            <w:pPr>
              <w:spacing w:before="40" w:after="40"/>
            </w:pPr>
            <w:r>
              <w:rPr>
                <w:b/>
                <w:sz w:val="18"/>
              </w:rPr>
              <w:t>Planning category</w:t>
            </w:r>
          </w:p>
        </w:tc>
        <w:tc>
          <w:tcPr>
            <w:tcW w:type="dxa" w:w="3312"/>
            <w:tcBorders>
              <w:top w:val="single" w:sz="4" w:color="D9D9D9"/>
              <w:left w:val="single" w:sz="4" w:color="D9D9D9"/>
              <w:bottom w:val="single" w:sz="4" w:color="D9D9D9"/>
              <w:right w:val="single" w:sz="4" w:color="D9D9D9"/>
            </w:tcBorders>
            <w:shd w:fill="E8E8E8"/>
          </w:tcPr>
          <w:p>
            <w:pPr>
              <w:spacing w:before="40" w:after="40"/>
              <w:jc w:val="center"/>
            </w:pPr>
            <w:r>
              <w:rPr>
                <w:b/>
                <w:sz w:val="18"/>
              </w:rPr>
              <w:t>Weight</w:t>
            </w:r>
          </w:p>
        </w:tc>
        <w:tc>
          <w:tcPr>
            <w:tcW w:type="dxa" w:w="3312"/>
            <w:tcBorders>
              <w:top w:val="single" w:sz="4" w:color="D9D9D9"/>
              <w:left w:val="single" w:sz="4" w:color="D9D9D9"/>
              <w:bottom w:val="single" w:sz="4" w:color="D9D9D9"/>
              <w:right w:val="single" w:sz="4" w:color="D9D9D9"/>
            </w:tcBorders>
            <w:shd w:fill="E8E8E8"/>
          </w:tcPr>
          <w:p>
            <w:pPr>
              <w:spacing w:before="40" w:after="40"/>
              <w:jc w:val="center"/>
            </w:pPr>
            <w:r>
              <w:rPr>
                <w:b/>
                <w:sz w:val="18"/>
              </w:rPr>
              <w:t>Rating 0–4</w:t>
            </w:r>
          </w:p>
        </w:tc>
      </w:tr>
      <w:tr>
        <w:tc>
          <w:tcPr>
            <w:tcW w:type="dxa" w:w="6912"/>
            <w:tcBorders>
              <w:top w:val="single" w:sz="4" w:color="D9D9D9"/>
              <w:left w:val="single" w:sz="4" w:color="D9D9D9"/>
              <w:bottom w:val="single" w:sz="4" w:color="D9D9D9"/>
              <w:right w:val="single" w:sz="4" w:color="D9D9D9"/>
            </w:tcBorders>
            <w:shd w:fill="FFFFFF"/>
          </w:tcPr>
          <w:p>
            <w:pPr>
              <w:spacing w:before="40" w:after="40"/>
            </w:pPr>
            <w:r>
              <w:rPr>
                <w:sz w:val="18"/>
              </w:rPr>
              <w:t>Noise, low-frequency sound &amp; vibration</w:t>
            </w:r>
          </w:p>
        </w:tc>
        <w:tc>
          <w:tcPr>
            <w:tcW w:type="dxa" w:w="936"/>
            <w:tcBorders>
              <w:top w:val="single" w:sz="4" w:color="D9D9D9"/>
              <w:left w:val="single" w:sz="4" w:color="D9D9D9"/>
              <w:bottom w:val="single" w:sz="4" w:color="D9D9D9"/>
              <w:right w:val="single" w:sz="4" w:color="D9D9D9"/>
            </w:tcBorders>
            <w:shd w:fill="FFFFFF"/>
          </w:tcPr>
          <w:p>
            <w:pPr>
              <w:spacing w:before="40" w:after="40"/>
              <w:jc w:val="center"/>
            </w:pPr>
            <w:r>
              <w:rPr>
                <w:sz w:val="18"/>
              </w:rPr>
              <w:t>20</w:t>
            </w:r>
          </w:p>
        </w:tc>
        <w:tc>
          <w:tcPr>
            <w:tcW w:type="dxa" w:w="1656"/>
            <w:tcBorders>
              <w:top w:val="single" w:sz="4" w:color="D9D9D9"/>
              <w:left w:val="single" w:sz="4" w:color="D9D9D9"/>
              <w:bottom w:val="single" w:sz="4" w:color="D9D9D9"/>
              <w:right w:val="single" w:sz="4" w:color="D9D9D9"/>
            </w:tcBorders>
            <w:shd w:fill="FFFFFF"/>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5F5F5"/>
          </w:tcPr>
          <w:p>
            <w:pPr>
              <w:spacing w:before="40" w:after="40"/>
            </w:pPr>
            <w:r>
              <w:rPr>
                <w:sz w:val="18"/>
              </w:rPr>
              <w:t>Water stewardship &amp; drought resilience</w:t>
            </w:r>
          </w:p>
        </w:tc>
        <w:tc>
          <w:tcPr>
            <w:tcW w:type="dxa" w:w="936"/>
            <w:tcBorders>
              <w:top w:val="single" w:sz="4" w:color="D9D9D9"/>
              <w:left w:val="single" w:sz="4" w:color="D9D9D9"/>
              <w:bottom w:val="single" w:sz="4" w:color="D9D9D9"/>
              <w:right w:val="single" w:sz="4" w:color="D9D9D9"/>
            </w:tcBorders>
            <w:shd w:fill="F5F5F5"/>
          </w:tcPr>
          <w:p>
            <w:pPr>
              <w:spacing w:before="40" w:after="40"/>
              <w:jc w:val="center"/>
            </w:pPr>
            <w:r>
              <w:rPr>
                <w:sz w:val="18"/>
              </w:rPr>
              <w:t>15</w:t>
            </w:r>
          </w:p>
        </w:tc>
        <w:tc>
          <w:tcPr>
            <w:tcW w:type="dxa" w:w="1656"/>
            <w:tcBorders>
              <w:top w:val="single" w:sz="4" w:color="D9D9D9"/>
              <w:left w:val="single" w:sz="4" w:color="D9D9D9"/>
              <w:bottom w:val="single" w:sz="4" w:color="D9D9D9"/>
              <w:right w:val="single" w:sz="4" w:color="D9D9D9"/>
            </w:tcBorders>
            <w:shd w:fill="F5F5F5"/>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FFFFF"/>
          </w:tcPr>
          <w:p>
            <w:pPr>
              <w:spacing w:before="40" w:after="40"/>
            </w:pPr>
            <w:r>
              <w:rPr>
                <w:sz w:val="18"/>
              </w:rPr>
              <w:t>Power supply, reliability &amp; cost allocation</w:t>
            </w:r>
          </w:p>
        </w:tc>
        <w:tc>
          <w:tcPr>
            <w:tcW w:type="dxa" w:w="936"/>
            <w:tcBorders>
              <w:top w:val="single" w:sz="4" w:color="D9D9D9"/>
              <w:left w:val="single" w:sz="4" w:color="D9D9D9"/>
              <w:bottom w:val="single" w:sz="4" w:color="D9D9D9"/>
              <w:right w:val="single" w:sz="4" w:color="D9D9D9"/>
            </w:tcBorders>
            <w:shd w:fill="FFFFFF"/>
          </w:tcPr>
          <w:p>
            <w:pPr>
              <w:spacing w:before="40" w:after="40"/>
              <w:jc w:val="center"/>
            </w:pPr>
            <w:r>
              <w:rPr>
                <w:sz w:val="18"/>
              </w:rPr>
              <w:t>15</w:t>
            </w:r>
          </w:p>
        </w:tc>
        <w:tc>
          <w:tcPr>
            <w:tcW w:type="dxa" w:w="1656"/>
            <w:tcBorders>
              <w:top w:val="single" w:sz="4" w:color="D9D9D9"/>
              <w:left w:val="single" w:sz="4" w:color="D9D9D9"/>
              <w:bottom w:val="single" w:sz="4" w:color="D9D9D9"/>
              <w:right w:val="single" w:sz="4" w:color="D9D9D9"/>
            </w:tcBorders>
            <w:shd w:fill="FFFFFF"/>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5F5F5"/>
          </w:tcPr>
          <w:p>
            <w:pPr>
              <w:spacing w:before="40" w:after="40"/>
            </w:pPr>
            <w:r>
              <w:rPr>
                <w:sz w:val="18"/>
              </w:rPr>
              <w:t>Land suitability, air quality &amp; public safety</w:t>
            </w:r>
          </w:p>
        </w:tc>
        <w:tc>
          <w:tcPr>
            <w:tcW w:type="dxa" w:w="936"/>
            <w:tcBorders>
              <w:top w:val="single" w:sz="4" w:color="D9D9D9"/>
              <w:left w:val="single" w:sz="4" w:color="D9D9D9"/>
              <w:bottom w:val="single" w:sz="4" w:color="D9D9D9"/>
              <w:right w:val="single" w:sz="4" w:color="D9D9D9"/>
            </w:tcBorders>
            <w:shd w:fill="F5F5F5"/>
          </w:tcPr>
          <w:p>
            <w:pPr>
              <w:spacing w:before="40" w:after="40"/>
              <w:jc w:val="center"/>
            </w:pPr>
            <w:r>
              <w:rPr>
                <w:sz w:val="18"/>
              </w:rPr>
              <w:t>15</w:t>
            </w:r>
          </w:p>
        </w:tc>
        <w:tc>
          <w:tcPr>
            <w:tcW w:type="dxa" w:w="1656"/>
            <w:tcBorders>
              <w:top w:val="single" w:sz="4" w:color="D9D9D9"/>
              <w:left w:val="single" w:sz="4" w:color="D9D9D9"/>
              <w:bottom w:val="single" w:sz="4" w:color="D9D9D9"/>
              <w:right w:val="single" w:sz="4" w:color="D9D9D9"/>
            </w:tcBorders>
            <w:shd w:fill="F5F5F5"/>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FFFFF"/>
          </w:tcPr>
          <w:p>
            <w:pPr>
              <w:spacing w:before="40" w:after="40"/>
            </w:pPr>
            <w:r>
              <w:rPr>
                <w:sz w:val="18"/>
              </w:rPr>
              <w:t>Housing choice &amp; total cost of living</w:t>
            </w:r>
          </w:p>
        </w:tc>
        <w:tc>
          <w:tcPr>
            <w:tcW w:type="dxa" w:w="936"/>
            <w:tcBorders>
              <w:top w:val="single" w:sz="4" w:color="D9D9D9"/>
              <w:left w:val="single" w:sz="4" w:color="D9D9D9"/>
              <w:bottom w:val="single" w:sz="4" w:color="D9D9D9"/>
              <w:right w:val="single" w:sz="4" w:color="D9D9D9"/>
            </w:tcBorders>
            <w:shd w:fill="FFFFFF"/>
          </w:tcPr>
          <w:p>
            <w:pPr>
              <w:spacing w:before="40" w:after="40"/>
              <w:jc w:val="center"/>
            </w:pPr>
            <w:r>
              <w:rPr>
                <w:sz w:val="18"/>
              </w:rPr>
              <w:t>10</w:t>
            </w:r>
          </w:p>
        </w:tc>
        <w:tc>
          <w:tcPr>
            <w:tcW w:type="dxa" w:w="1656"/>
            <w:tcBorders>
              <w:top w:val="single" w:sz="4" w:color="D9D9D9"/>
              <w:left w:val="single" w:sz="4" w:color="D9D9D9"/>
              <w:bottom w:val="single" w:sz="4" w:color="D9D9D9"/>
              <w:right w:val="single" w:sz="4" w:color="D9D9D9"/>
            </w:tcBorders>
            <w:shd w:fill="FFFFFF"/>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5F5F5"/>
          </w:tcPr>
          <w:p>
            <w:pPr>
              <w:spacing w:before="40" w:after="40"/>
            </w:pPr>
            <w:r>
              <w:rPr>
                <w:sz w:val="18"/>
              </w:rPr>
              <w:t>Community infrastructure &amp; service capacity</w:t>
            </w:r>
          </w:p>
        </w:tc>
        <w:tc>
          <w:tcPr>
            <w:tcW w:type="dxa" w:w="936"/>
            <w:tcBorders>
              <w:top w:val="single" w:sz="4" w:color="D9D9D9"/>
              <w:left w:val="single" w:sz="4" w:color="D9D9D9"/>
              <w:bottom w:val="single" w:sz="4" w:color="D9D9D9"/>
              <w:right w:val="single" w:sz="4" w:color="D9D9D9"/>
            </w:tcBorders>
            <w:shd w:fill="F5F5F5"/>
          </w:tcPr>
          <w:p>
            <w:pPr>
              <w:spacing w:before="40" w:after="40"/>
              <w:jc w:val="center"/>
            </w:pPr>
            <w:r>
              <w:rPr>
                <w:sz w:val="18"/>
              </w:rPr>
              <w:t>5</w:t>
            </w:r>
          </w:p>
        </w:tc>
        <w:tc>
          <w:tcPr>
            <w:tcW w:type="dxa" w:w="1656"/>
            <w:tcBorders>
              <w:top w:val="single" w:sz="4" w:color="D9D9D9"/>
              <w:left w:val="single" w:sz="4" w:color="D9D9D9"/>
              <w:bottom w:val="single" w:sz="4" w:color="D9D9D9"/>
              <w:right w:val="single" w:sz="4" w:color="D9D9D9"/>
            </w:tcBorders>
            <w:shd w:fill="F5F5F5"/>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FFFFF"/>
          </w:tcPr>
          <w:p>
            <w:pPr>
              <w:spacing w:before="40" w:after="40"/>
            </w:pPr>
            <w:r>
              <w:rPr>
                <w:sz w:val="18"/>
              </w:rPr>
              <w:t>Town character, public space &amp; local enterprise</w:t>
            </w:r>
          </w:p>
        </w:tc>
        <w:tc>
          <w:tcPr>
            <w:tcW w:type="dxa" w:w="936"/>
            <w:tcBorders>
              <w:top w:val="single" w:sz="4" w:color="D9D9D9"/>
              <w:left w:val="single" w:sz="4" w:color="D9D9D9"/>
              <w:bottom w:val="single" w:sz="4" w:color="D9D9D9"/>
              <w:right w:val="single" w:sz="4" w:color="D9D9D9"/>
            </w:tcBorders>
            <w:shd w:fill="FFFFFF"/>
          </w:tcPr>
          <w:p>
            <w:pPr>
              <w:spacing w:before="40" w:after="40"/>
              <w:jc w:val="center"/>
            </w:pPr>
            <w:r>
              <w:rPr>
                <w:sz w:val="18"/>
              </w:rPr>
              <w:t>5</w:t>
            </w:r>
          </w:p>
        </w:tc>
        <w:tc>
          <w:tcPr>
            <w:tcW w:type="dxa" w:w="1656"/>
            <w:tcBorders>
              <w:top w:val="single" w:sz="4" w:color="D9D9D9"/>
              <w:left w:val="single" w:sz="4" w:color="D9D9D9"/>
              <w:bottom w:val="single" w:sz="4" w:color="D9D9D9"/>
              <w:right w:val="single" w:sz="4" w:color="D9D9D9"/>
            </w:tcBorders>
            <w:shd w:fill="FFFFFF"/>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5F5F5"/>
          </w:tcPr>
          <w:p>
            <w:pPr>
              <w:spacing w:before="40" w:after="40"/>
            </w:pPr>
            <w:r>
              <w:rPr>
                <w:sz w:val="18"/>
              </w:rPr>
              <w:t>Education &amp; workforce pathways</w:t>
            </w:r>
          </w:p>
        </w:tc>
        <w:tc>
          <w:tcPr>
            <w:tcW w:type="dxa" w:w="936"/>
            <w:tcBorders>
              <w:top w:val="single" w:sz="4" w:color="D9D9D9"/>
              <w:left w:val="single" w:sz="4" w:color="D9D9D9"/>
              <w:bottom w:val="single" w:sz="4" w:color="D9D9D9"/>
              <w:right w:val="single" w:sz="4" w:color="D9D9D9"/>
            </w:tcBorders>
            <w:shd w:fill="F5F5F5"/>
          </w:tcPr>
          <w:p>
            <w:pPr>
              <w:spacing w:before="40" w:after="40"/>
              <w:jc w:val="center"/>
            </w:pPr>
            <w:r>
              <w:rPr>
                <w:sz w:val="18"/>
              </w:rPr>
              <w:t>5</w:t>
            </w:r>
          </w:p>
        </w:tc>
        <w:tc>
          <w:tcPr>
            <w:tcW w:type="dxa" w:w="1656"/>
            <w:tcBorders>
              <w:top w:val="single" w:sz="4" w:color="D9D9D9"/>
              <w:left w:val="single" w:sz="4" w:color="D9D9D9"/>
              <w:bottom w:val="single" w:sz="4" w:color="D9D9D9"/>
              <w:right w:val="single" w:sz="4" w:color="D9D9D9"/>
            </w:tcBorders>
            <w:shd w:fill="F5F5F5"/>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FFFFF"/>
          </w:tcPr>
          <w:p>
            <w:pPr>
              <w:spacing w:before="40" w:after="40"/>
            </w:pPr>
            <w:r>
              <w:rPr>
                <w:sz w:val="18"/>
              </w:rPr>
              <w:t>Digital access &amp; community connectivity</w:t>
            </w:r>
          </w:p>
        </w:tc>
        <w:tc>
          <w:tcPr>
            <w:tcW w:type="dxa" w:w="936"/>
            <w:tcBorders>
              <w:top w:val="single" w:sz="4" w:color="D9D9D9"/>
              <w:left w:val="single" w:sz="4" w:color="D9D9D9"/>
              <w:bottom w:val="single" w:sz="4" w:color="D9D9D9"/>
              <w:right w:val="single" w:sz="4" w:color="D9D9D9"/>
            </w:tcBorders>
            <w:shd w:fill="FFFFFF"/>
          </w:tcPr>
          <w:p>
            <w:pPr>
              <w:spacing w:before="40" w:after="40"/>
              <w:jc w:val="center"/>
            </w:pPr>
            <w:r>
              <w:rPr>
                <w:sz w:val="18"/>
              </w:rPr>
              <w:t>5</w:t>
            </w:r>
          </w:p>
        </w:tc>
        <w:tc>
          <w:tcPr>
            <w:tcW w:type="dxa" w:w="1656"/>
            <w:tcBorders>
              <w:top w:val="single" w:sz="4" w:color="D9D9D9"/>
              <w:left w:val="single" w:sz="4" w:color="D9D9D9"/>
              <w:bottom w:val="single" w:sz="4" w:color="D9D9D9"/>
              <w:right w:val="single" w:sz="4" w:color="D9D9D9"/>
            </w:tcBorders>
            <w:shd w:fill="FFFFFF"/>
          </w:tcPr>
          <w:p>
            <w:pPr>
              <w:spacing w:before="40" w:after="40"/>
              <w:jc w:val="center"/>
            </w:pPr>
            <w:r>
              <w:rPr>
                <w:sz w:val="18"/>
              </w:rPr>
            </w:r>
          </w:p>
        </w:tc>
      </w:tr>
      <w:tr>
        <w:tc>
          <w:tcPr>
            <w:tcW w:type="dxa" w:w="6912"/>
            <w:tcBorders>
              <w:top w:val="single" w:sz="4" w:color="D9D9D9"/>
              <w:left w:val="single" w:sz="4" w:color="D9D9D9"/>
              <w:bottom w:val="single" w:sz="4" w:color="D9D9D9"/>
              <w:right w:val="single" w:sz="4" w:color="D9D9D9"/>
            </w:tcBorders>
            <w:shd w:fill="F5F5F5"/>
          </w:tcPr>
          <w:p>
            <w:pPr>
              <w:spacing w:before="40" w:after="40"/>
            </w:pPr>
            <w:r>
              <w:rPr>
                <w:sz w:val="18"/>
              </w:rPr>
              <w:t>Funded commitments &amp; public accountability</w:t>
            </w:r>
          </w:p>
        </w:tc>
        <w:tc>
          <w:tcPr>
            <w:tcW w:type="dxa" w:w="936"/>
            <w:tcBorders>
              <w:top w:val="single" w:sz="4" w:color="D9D9D9"/>
              <w:left w:val="single" w:sz="4" w:color="D9D9D9"/>
              <w:bottom w:val="single" w:sz="4" w:color="D9D9D9"/>
              <w:right w:val="single" w:sz="4" w:color="D9D9D9"/>
            </w:tcBorders>
            <w:shd w:fill="F5F5F5"/>
          </w:tcPr>
          <w:p>
            <w:pPr>
              <w:spacing w:before="40" w:after="40"/>
              <w:jc w:val="center"/>
            </w:pPr>
            <w:r>
              <w:rPr>
                <w:sz w:val="18"/>
              </w:rPr>
              <w:t>5</w:t>
            </w:r>
          </w:p>
        </w:tc>
        <w:tc>
          <w:tcPr>
            <w:tcW w:type="dxa" w:w="1656"/>
            <w:tcBorders>
              <w:top w:val="single" w:sz="4" w:color="D9D9D9"/>
              <w:left w:val="single" w:sz="4" w:color="D9D9D9"/>
              <w:bottom w:val="single" w:sz="4" w:color="D9D9D9"/>
              <w:right w:val="single" w:sz="4" w:color="D9D9D9"/>
            </w:tcBorders>
            <w:shd w:fill="F5F5F5"/>
          </w:tcPr>
          <w:p>
            <w:pPr>
              <w:spacing w:before="40" w:after="40"/>
              <w:jc w:val="center"/>
            </w:pPr>
            <w:r>
              <w:rPr>
                <w:sz w:val="18"/>
              </w:rPr>
            </w:r>
          </w:p>
        </w:tc>
      </w:tr>
    </w:tbl>
    <w:p>
      <w:r>
        <w:t>Total earned points ______ / 100     Categories rated ______ / 10     Essential gates confirmed ______ / 5</w:t>
      </w:r>
    </w:p>
    <w:p>
      <w:r>
        <w:br w:type="page"/>
      </w:r>
    </w:p>
    <w:p>
      <w:pPr>
        <w:pStyle w:val="Heading1"/>
      </w:pPr>
      <w:r>
        <w:t>Features and evidence to address</w:t>
      </w:r>
    </w:p>
    <w:p>
      <w:pPr>
        <w:pStyle w:val="Heading2"/>
      </w:pPr>
      <w:r>
        <w:t>Noise, low-frequency sound &amp; vibration — 20%</w:t>
      </w:r>
    </w:p>
    <w:p>
      <w:r>
        <w:t>Independent day/night and tonal/low-frequency analysis; full-buildout and generator scenarios; separate vibration assessment where warranted; mitigation and post-opening monitoring.</w:t>
      </w:r>
    </w:p>
    <w:p>
      <w:r>
        <w:t>Evidence or agreement ______________________________</w:t>
        <w:br/>
        <w:t>Responsible party __________________  Review date __________</w:t>
        <w:br/>
        <w:t>Next action ________________________________________</w:t>
      </w:r>
    </w:p>
    <w:p>
      <w:pPr>
        <w:pStyle w:val="Heading2"/>
      </w:pPr>
      <w:r>
        <w:t>Water stewardship &amp; drought resilience — 15%</w:t>
      </w:r>
    </w:p>
    <w:p>
      <w:r>
        <w:t>Verified supply and competing demands; cooling alternatives and reuse; treatment and discharge; drought triggers; funded capacity and public reporting.</w:t>
      </w:r>
    </w:p>
    <w:p>
      <w:r>
        <w:t>Evidence or agreement ______________________________</w:t>
        <w:br/>
        <w:t>Responsible party __________________  Review date __________</w:t>
        <w:br/>
        <w:t>Next action ________________________________________</w:t>
      </w:r>
    </w:p>
    <w:p>
      <w:pPr>
        <w:pStyle w:val="Heading2"/>
      </w:pPr>
      <w:r>
        <w:t>Power supply, reliability &amp; cost allocation — 15%</w:t>
      </w:r>
    </w:p>
    <w:p>
      <w:r>
        <w:t>Credible additional capacity; transmission and substations; backup and peak-demand plans; transparent cost responsibility and protection against shifting project-specific costs to households.</w:t>
      </w:r>
    </w:p>
    <w:p>
      <w:r>
        <w:t>Evidence or agreement ______________________________</w:t>
        <w:br/>
        <w:t>Responsible party __________________  Review date __________</w:t>
        <w:br/>
        <w:t>Next action ________________________________________</w:t>
      </w:r>
    </w:p>
    <w:p>
      <w:pPr>
        <w:pStyle w:val="Heading2"/>
      </w:pPr>
      <w:r>
        <w:t>Land suitability, air quality &amp; public safety — 15%</w:t>
      </w:r>
    </w:p>
    <w:p>
      <w:r>
        <w:t>Site-specific flood, drainage, environmental and air-quality review; emergency access, fire response, fuel and battery hazards; applicable approvals and protection of sensitive uses.</w:t>
      </w:r>
    </w:p>
    <w:p>
      <w:r>
        <w:t>Evidence or agreement ______________________________</w:t>
        <w:br/>
        <w:t>Responsible party __________________  Review date __________</w:t>
        <w:br/>
        <w:t>Next action ________________________________________</w:t>
      </w:r>
    </w:p>
    <w:p>
      <w:pPr>
        <w:pStyle w:val="Heading2"/>
      </w:pPr>
      <w:r>
        <w:t>Housing choice &amp; total cost of living — 10%</w:t>
      </w:r>
    </w:p>
    <w:p>
      <w:r>
        <w:t>Evidence of regional demand; small luxe through attainable homes; different sizes and tenures; durable, efficient design; realistic housing, energy, transport, insurance and maintenance costs.</w:t>
      </w:r>
    </w:p>
    <w:p>
      <w:r>
        <w:t>Evidence or agreement ______________________________</w:t>
        <w:br/>
        <w:t>Responsible party __________________  Review date __________</w:t>
        <w:br/>
        <w:t>Next action ________________________________________</w:t>
      </w:r>
    </w:p>
    <w:p>
      <w:pPr>
        <w:pStyle w:val="Heading2"/>
      </w:pPr>
      <w:r>
        <w:t>Community infrastructure &amp; service capacity — 5%</w:t>
      </w:r>
    </w:p>
    <w:p>
      <w:r>
        <w:t>Funded roads, safe access, wastewater, stormwater, parks and public services; delivery timed to occupancy; long-term maintenance responsibility.</w:t>
      </w:r>
    </w:p>
    <w:p>
      <w:r>
        <w:t>Evidence or agreement ______________________________</w:t>
        <w:br/>
        <w:t>Responsible party __________________  Review date __________</w:t>
        <w:br/>
        <w:t>Next action ________________________________________</w:t>
      </w:r>
    </w:p>
    <w:p>
      <w:pPr>
        <w:pStyle w:val="Heading2"/>
      </w:pPr>
      <w:r>
        <w:t>Town character, public space &amp; local enterprise — 5%</w:t>
      </w:r>
    </w:p>
    <w:p>
      <w:r>
        <w:t>Respect existing residents and landmarks; shaded, walkable streets, gathering places and landscape; opportunities for locally owned businesses and protection against displacement.</w:t>
      </w:r>
    </w:p>
    <w:p>
      <w:r>
        <w:t>Evidence or agreement ______________________________</w:t>
        <w:br/>
        <w:t>Responsible party __________________  Review date __________</w:t>
        <w:br/>
        <w:t>Next action ________________________________________</w:t>
      </w:r>
    </w:p>
    <w:p>
      <w:pPr>
        <w:pStyle w:val="Heading2"/>
      </w:pPr>
      <w:r>
        <w:t>Education &amp; workforce pathways — 5%</w:t>
      </w:r>
    </w:p>
    <w:p>
      <w:r>
        <w:t>Agreements with schools, colleges or universities; apprenticeships and paid training; teacher and laboratory support; transferable skills tied to documented demand.</w:t>
      </w:r>
    </w:p>
    <w:p>
      <w:r>
        <w:t>Evidence or agreement ______________________________</w:t>
        <w:br/>
        <w:t>Responsible party __________________  Review date __________</w:t>
        <w:br/>
        <w:t>Next action ________________________________________</w:t>
      </w:r>
    </w:p>
    <w:p>
      <w:pPr>
        <w:pStyle w:val="Heading2"/>
      </w:pPr>
      <w:r>
        <w:t>Digital access &amp; community connectivity — 5%</w:t>
      </w:r>
    </w:p>
    <w:p>
      <w:r>
        <w:t>A practical provider-backed broadband plan for homes, schools, libraries and businesses; affordability, coverage and resilience; separation from secure facility networks.</w:t>
      </w:r>
    </w:p>
    <w:p>
      <w:r>
        <w:t>Evidence or agreement ______________________________</w:t>
        <w:br/>
        <w:t>Responsible party __________________  Review date __________</w:t>
        <w:br/>
        <w:t>Next action ________________________________________</w:t>
      </w:r>
    </w:p>
    <w:p>
      <w:pPr>
        <w:pStyle w:val="Heading2"/>
      </w:pPr>
      <w:r>
        <w:t>Funded commitments &amp; public accountability — 5%</w:t>
      </w:r>
    </w:p>
    <w:p>
      <w:r>
        <w:t>Named responsible parties; written budgets, milestones and agreements; resident participation, monitoring, complaint remedies and independently reviewed reporting; delay and closure provisions.</w:t>
      </w:r>
    </w:p>
    <w:p>
      <w:r>
        <w:t>Evidence or agreement ______________________________</w:t>
        <w:br/>
        <w:t>Responsible party __________________  Review date __________</w:t>
        <w:br/>
        <w:t>Next action ________________________________________</w:t>
      </w:r>
    </w:p>
    <w:p>
      <w:pPr>
        <w:pStyle w:val="Heading1"/>
      </w:pPr>
      <w:r>
        <w:t>Map and further reading</w:t>
      </w:r>
    </w:p>
    <w:p>
      <w:r>
        <w:t>Select a data center and toggle 10, 20, 30 and 40 mile rings. Explore mapped small towns and Texas A&amp;M System sites within 40 miles.</w:t>
      </w:r>
    </w:p>
    <w:p>
      <w:hyperlink r:id="rId10">
        <w:r>
          <w:rPr>
            <w:color w:val="12634B"/>
            <w:u w:val="single"/>
          </w:rPr>
          <w:t>Open GO data center community planning map</w:t>
        </w:r>
      </w:hyperlink>
    </w:p>
    <w:p>
      <w:r>
        <w:t>Straight-line distances from approximate reference points. Existing GO research snapshot: October 18, 2026. Reported operating and proposed/planned facilities are distinguished. Rings are not acoustic contours, health or safety thresholds, recommended setbacks, travel times, or utility service boundaries.</w:t>
      </w:r>
    </w:p>
    <w:p>
      <w:hyperlink r:id="rId13">
        <w:r>
          <w:rPr>
            <w:color w:val="12634B"/>
            <w:u w:val="single"/>
          </w:rPr>
          <w:t>All current GO initiatives and maps</w:t>
        </w:r>
      </w:hyperlink>
    </w:p>
    <w:p>
      <w:hyperlink r:id="rId14">
        <w:r>
          <w:rPr>
            <w:color w:val="12634B"/>
            <w:u w:val="single"/>
          </w:rPr>
          <w:t>Explore possibilities in a 15 minute meeting</w:t>
        </w:r>
      </w:hyperlink>
    </w:p>
    <w:p>
      <w:pPr>
        <w:pStyle w:val="Heading1"/>
      </w:pPr>
      <w:r>
        <w:t>Sources and editorial notes</w:t>
      </w:r>
    </w:p>
    <w:p>
      <w:r>
        <w:t xml:space="preserve">1. </w:t>
      </w:r>
      <w:hyperlink r:id="rId15">
        <w:r>
          <w:rPr>
            <w:color w:val="12634B"/>
            <w:u w:val="single"/>
          </w:rPr>
          <w:t>Loudoun County: Data Centers—Noise &amp; Air Quality Concerns.</w:t>
        </w:r>
      </w:hyperlink>
      <w:r>
        <w:t xml:space="preserve"> Noise sources, tonal and low-frequency sound, and measurement considerations.</w:t>
      </w:r>
    </w:p>
    <w:p>
      <w:r>
        <w:t xml:space="preserve">2. </w:t>
      </w:r>
      <w:hyperlink r:id="rId16">
        <w:r>
          <w:rPr>
            <w:color w:val="12634B"/>
            <w:u w:val="single"/>
          </w:rPr>
          <w:t>Virginia Joint Legislative Audit and Review Commission: Data Centers in Virginia, December 9, 2024; published 2025.</w:t>
        </w:r>
      </w:hyperlink>
      <w:r>
        <w:t xml:space="preserve"> Location/design, noise complaints, and the distinction between construction and ongoing employment. Virginia findings provide context; they are not Texas project forecasts.</w:t>
      </w:r>
    </w:p>
    <w:p>
      <w:r>
        <w:t xml:space="preserve">3. </w:t>
      </w:r>
      <w:hyperlink r:id="rId17">
        <w:r>
          <w:rPr>
            <w:color w:val="12634B"/>
            <w:u w:val="single"/>
          </w:rPr>
          <w:t>U.S. Geological Survey: Colocating Artificial Intelligence Data Centers with Energy Infrastructure on Federal Public Lands—A Science Synthesis and Spatial Analysis to Inform Decision Making, 2026.</w:t>
        </w:r>
      </w:hyperlink>
      <w:r>
        <w:t xml:space="preserve"> Cooling, climate, water availability, and competing demands. Federal-land research informs the discussion; it does not establish local project suitability.</w:t>
      </w:r>
    </w:p>
    <w:p>
      <w:r>
        <w:t>This special report presents GO’s perspective and proposed planning framework. Infrastructure sponsorship, mixed housing, education support, and accountability measures are recommendations, not descriptions of commitments by any mapped operator. No mapped company or institution is presented as endorsing this proposal.</w:t>
      </w:r>
    </w:p>
    <w:sectPr w:rsidR="00FC693F" w:rsidRPr="0006063C" w:rsidSect="00034616">
      <w:headerReference w:type="default" r:id="rId9"/>
      <w:footerReference w:type="default" r:id="rId18"/>
      <w:headerReference w:type="first" r:id="rId19"/>
      <w:headerReference w:type="even" r:id="rId2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GO | Goswick.Org • Special Report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goswick.org/data-center-community-map/" TargetMode="External"/><Relationship Id="rId11" Type="http://schemas.openxmlformats.org/officeDocument/2006/relationships/hyperlink" Target="https://goswick.org/perspectives/how-close-is-close-enough/" TargetMode="External"/><Relationship Id="rId12" Type="http://schemas.openxmlformats.org/officeDocument/2006/relationships/hyperlink" Target="https://goswick.org/perspectives/how-close-is-close-enough/#weighted-checklist" TargetMode="External"/><Relationship Id="rId13" Type="http://schemas.openxmlformats.org/officeDocument/2006/relationships/hyperlink" Target="https://goswick.org/current-projects-initiatives/" TargetMode="External"/><Relationship Id="rId14" Type="http://schemas.openxmlformats.org/officeDocument/2006/relationships/hyperlink" Target="https://drg-9.youcanbook.me/" TargetMode="External"/><Relationship Id="rId15" Type="http://schemas.openxmlformats.org/officeDocument/2006/relationships/hyperlink" Target="https://www.loudoun.gov/6405/Noise-Air-Quality-Concerns" TargetMode="External"/><Relationship Id="rId16" Type="http://schemas.openxmlformats.org/officeDocument/2006/relationships/hyperlink" Target="https://rga.lis.virginia.gov/Published/2025/RD206" TargetMode="External"/><Relationship Id="rId17" Type="http://schemas.openxmlformats.org/officeDocument/2006/relationships/hyperlink" Target="https://pubs.usgs.gov/publication/sir20265035/full" TargetMode="Externa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Close Is Close Enough? How Far Is Far Enough?</dc:title>
  <dc:subject>GO Special Report on housing and community development near data centers</dc:subject>
  <dc:creator>David R. Goswick</dc:creator>
  <cp:keywords/>
  <dc:description>generated by python-docx</dc:description>
  <cp:lastModifiedBy/>
  <cp:revision>1</cp:revision>
  <dcterms:created xsi:type="dcterms:W3CDTF">2013-12-23T23:15:00Z</dcterms:created>
  <dcterms:modified xsi:type="dcterms:W3CDTF">2013-12-23T23:15:00Z</dcterms:modified>
  <cp:category/>
</cp:coreProperties>
</file>